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45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7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>
        <w:trPr>
          <w:trHeight w:val="60" w:hRule="atLeast"/>
        </w:trPr>
        <w:tc>
          <w:tcPr>
            <w:tcW w:w="15401" w:type="dxa"/>
            <w:gridSpan w:val="6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Сводная ведомость результатов проведения специальной оценки условий труда</w:t>
            </w: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gridSpan w:val="5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Таблица 1</w:t>
            </w:r>
          </w:p>
        </w:tc>
      </w:tr>
      <w:tr>
        <w:trPr>
          <w:trHeight w:val="480" w:hRule="atLeast"/>
        </w:trPr>
        <w:tc>
          <w:tcPr>
            <w:tcW w:w="4275" w:type="dxa"/>
            <w:vMerge w:val="restart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596" w:type="dxa"/>
            <w:vMerge w:val="restart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53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>
        <w:trPr>
          <w:trHeight w:val="60" w:hRule="atLeast"/>
        </w:trPr>
        <w:tc>
          <w:tcPr>
            <w:tcW w:w="4275" w:type="dxa"/>
            <w:vMerge w:val="continue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180" w:type="dxa"/>
            <w:vMerge w:val="restar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855" w:type="dxa"/>
            <w:vMerge w:val="restart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315" w:type="dxa"/>
            <w:vMerge w:val="restar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>
        <w:trPr>
          <w:trHeight w:val="60" w:hRule="atLeast"/>
        </w:trPr>
        <w:tc>
          <w:tcPr>
            <w:tcW w:w="4275" w:type="dxa"/>
            <w:vMerge w:val="continue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652" w:type="dxa"/>
            <w:vMerge w:val="restar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т.ч., на которых проведена специальная оценка условий труда</w:t>
            </w:r>
          </w:p>
        </w:tc>
        <w:tc>
          <w:tcPr>
            <w:tcW w:w="1180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5" w:type="dxa"/>
            <w:vMerge w:val="continue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275" w:type="dxa"/>
            <w:vMerge w:val="continue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80" w:type="dxa"/>
            <w:vMerge w:val="restar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80" w:type="dxa"/>
            <w:vMerge w:val="restar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315" w:type="dxa"/>
            <w:vMerge w:val="restar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1315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275" w:type="dxa"/>
            <w:vMerge w:val="continue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2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42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65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42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65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42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65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42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5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427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5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p>
        <w:r>
          <w:br w:type="page"/>
        </w:r>
      </w:p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08" w:type="dxa"/>
            <w:gridSpan w:val="28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Таблица 2</w:t>
            </w:r>
          </w:p>
        </w:tc>
      </w:tr>
      <w:tr>
        <w:trPr>
          <w:trHeight w:val="60" w:hRule="atLeast"/>
        </w:trPr>
        <w:tc>
          <w:tcPr>
            <w:tcW w:w="944" w:type="dxa"/>
            <w:vMerge w:val="restar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Индиви- дуальный номер рабочего места</w:t>
            </w:r>
          </w:p>
        </w:tc>
        <w:tc>
          <w:tcPr>
            <w:tcW w:w="3331" w:type="dxa"/>
            <w:vMerge w:val="restart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Профессия/должность специальность работника</w:t>
            </w:r>
          </w:p>
        </w:tc>
        <w:tc>
          <w:tcPr>
            <w:tcW w:w="6608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708" w:type="dxa"/>
            <w:vMerge w:val="restar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итоговый класс (подкласс)</w:t>
              <w:br/>
              <w:t>
 условий труда</w:t>
            </w:r>
          </w:p>
        </w:tc>
        <w:tc>
          <w:tcPr>
            <w:tcW w:w="708" w:type="dxa"/>
            <w:vMerge w:val="restar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Итоговый класс (подкласс) условий труда </w:t>
              <w:br/>
              <w:t>
с учетом эффективного применения СИЗ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Повышенный размер оплаты труда (да, нет)</w:t>
            </w:r>
          </w:p>
        </w:tc>
        <w:tc>
          <w:tcPr>
            <w:tcW w:w="526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Ежегодный дополнительный</w:t>
              <w:br/>
              <w:t>
 оплачиваемый отпуск (да, нет)</w:t>
            </w:r>
          </w:p>
        </w:tc>
        <w:tc>
          <w:tcPr>
            <w:tcW w:w="526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Сокращенная продолжительность</w:t>
              <w:br/>
              <w:t>
 рабочего времени (да, нет)</w:t>
            </w:r>
          </w:p>
        </w:tc>
        <w:tc>
          <w:tcPr>
            <w:tcW w:w="526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 или другие равноценные</w:t>
              <w:br/>
              <w:t>
 пищевые продукты (да,нет)</w:t>
            </w:r>
          </w:p>
        </w:tc>
        <w:tc>
          <w:tcPr>
            <w:tcW w:w="526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Лечебно-профилактическое питание</w:t>
            </w:r>
          </w:p>
        </w:tc>
        <w:tc>
          <w:tcPr>
            <w:tcW w:w="526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Льготное пенсионное обеспечение (да, нет)</w:t>
            </w: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биологический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аэрозоли преимущественно</w:t>
              <w:br/>
              <w:t>
фиброгенного действия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шум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инфразвук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ультразвук воздушный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вибрация общая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вибрация локальная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неионизирующие излучения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ионизирующие излучения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параметры микроклимата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световая среда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472" w:type="dxa"/>
            <w:vMerge w:val="restar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напряженность трудового</w:t>
              <w:br/>
              <w:t>
процесса</w:t>
            </w: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vMerge w:val="continue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1" w:type="dxa"/>
            <w:vMerge w:val="continue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Merge w:val="continue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>
        <w:trPr>
          <w:trHeight w:val="60" w:hRule="atLeast"/>
        </w:trPr>
        <w:tc>
          <w:tcPr>
            <w:tcW w:w="15401" w:type="dxa"/>
            <w:gridSpan w:val="6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Заводоуправление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743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по ведению воинского учета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экономической безопасности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745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по работе с договорами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746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по проверке контрагентов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747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информационной безопасности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748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по информационному обеспечению и безопасности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749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режима и технических средств охраны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ТСО и СКУД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751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дежурный бюро пропусков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752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Начальник отдела закупок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753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бюро планирования и отчетности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1 категории бюро планирования и отчетности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1 категории бюро конкурентных закупок и формирования НМЦ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756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бюро конкурентных закупок и формирования НМЦ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757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отдела организации труда и заработной платы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15401" w:type="dxa"/>
            <w:gridSpan w:val="6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Цех №1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758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Энергетик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>
        <w:trPr>
          <w:trHeight w:val="60" w:hRule="atLeast"/>
        </w:trPr>
        <w:tc>
          <w:tcPr>
            <w:tcW w:w="15401" w:type="dxa"/>
            <w:gridSpan w:val="6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Цех №3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759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маркшейдер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>
        <w:trPr>
          <w:trHeight w:val="60" w:hRule="atLeast"/>
        </w:trPr>
        <w:tc>
          <w:tcPr>
            <w:tcW w:w="15401" w:type="dxa"/>
            <w:gridSpan w:val="6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ЦЦР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760А, 761А, 762А, 763А, 764А, 765А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227А, 228А, 229А, 230А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Плотник (4 разряд)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3.3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>
        <w:trPr>
          <w:trHeight w:val="60" w:hRule="atLeast"/>
        </w:trPr>
        <w:tc>
          <w:tcPr>
            <w:tcW w:w="15401" w:type="dxa"/>
            <w:gridSpan w:val="6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Цех №6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349А, 350А, 351А, 352А, 353А, 354А, 355А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Водитель погрузчика (3 разряд)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>
        <w:trPr>
          <w:trHeight w:val="60" w:hRule="atLeast"/>
        </w:trPr>
        <w:tc>
          <w:tcPr>
            <w:tcW w:w="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</w:t>
            </w:r>
          </w:p>
        </w:tc>
        <w:tc>
          <w:tcPr>
            <w:tcW w:w="333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Водитель погрузчика (3 разряд)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>
        <w:trPr>
          <w:trHeight w:val="400" w:hRule="atLeast"/>
        </w:trPr>
        <w:tc>
          <w:tcPr>
            <w:tcW w:w="1639" w:type="dxa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составления: </w:t>
            </w:r>
          </w:p>
        </w:tc>
        <w:tc>
          <w:tcPr>
            <w:tcW w:w="1888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91" w:type="dxa"/>
            <w:gridSpan w:val="4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400" w:hRule="atLeast"/>
        </w:trPr>
        <w:tc>
          <w:tcPr>
            <w:tcW w:w="13560" w:type="dxa"/>
            <w:gridSpan w:val="5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комиссии по проведению специальной оценки условий труда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Технический директор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1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Киндсфатер Александр Филиппович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  <w:gridSpan w:val="14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gridSpan w:val="22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400" w:hRule="atLeast"/>
        </w:trPr>
        <w:tc>
          <w:tcPr>
            <w:tcW w:w="13560" w:type="dxa"/>
            <w:gridSpan w:val="56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комиссии по проведению специальной оценки условий труда: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ЗГД по УП и ОВ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1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Ануфриев Константин Викторович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  <w:gridSpan w:val="14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gridSpan w:val="22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ПБ и ОТ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1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Володин Геннадий Михайлович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  <w:gridSpan w:val="14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gridSpan w:val="22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ОТ и З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1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Овчарова Ольга Давидовна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  <w:gridSpan w:val="14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gridSpan w:val="22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СУП и ТО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1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Ардыковская Евгения Валентиновна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  <w:gridSpan w:val="14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gridSpan w:val="22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главного энергетика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1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Сухоруков Андрей Николаевич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  <w:gridSpan w:val="14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gridSpan w:val="22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ППО ОАО "Кучуксульфат" Росхимпрофсоюза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1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Андреас Ольга Николаевна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  <w:gridSpan w:val="14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gridSpan w:val="22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400" w:hRule="atLeast"/>
        </w:trPr>
        <w:tc>
          <w:tcPr>
            <w:tcW w:w="13560" w:type="dxa"/>
            <w:gridSpan w:val="5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 (-ы) организации, проводившей специальную оценку условий труда: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4156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14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Евсюков Александр Алексеевич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039" w:type="dxa"/>
            <w:gridSpan w:val="16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(№ в реестре экспертов)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4" w:type="dxa"/>
            <w:gridSpan w:val="14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  <w:gridSpan w:val="22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263" w:type="dxa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1" w:type="dxa"/>
            <w:gridSpan w:val="7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>
        <w:trPr>
          <w:trHeight w:val="60" w:hRule="atLeast"/>
        </w:trPr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6839" w:h="11907" w:orient="landscape"/>
      <w:pgMar w:top="1134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